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42" w:rsidRPr="00381528" w:rsidRDefault="00DD1D42" w:rsidP="00DD1D42">
      <w:pPr>
        <w:spacing w:after="240"/>
        <w:ind w:firstLine="0"/>
        <w:rPr>
          <w:b/>
        </w:rPr>
      </w:pPr>
      <w:r w:rsidRPr="00381528">
        <w:rPr>
          <w:b/>
        </w:rPr>
        <w:t>Порядок оформления охотничьего билета</w:t>
      </w:r>
    </w:p>
    <w:p w:rsidR="00DD1D42" w:rsidRPr="00381528" w:rsidRDefault="00DD1D42" w:rsidP="00DD1D42">
      <w:pPr>
        <w:spacing w:after="240"/>
        <w:ind w:firstLine="0"/>
        <w:rPr>
          <w:b/>
          <w:i/>
        </w:rPr>
      </w:pPr>
      <w:r w:rsidRPr="00381528">
        <w:rPr>
          <w:b/>
          <w:i/>
        </w:rPr>
        <w:t>Томский межрайонный природоохранный прокурор разъясняет</w:t>
      </w:r>
    </w:p>
    <w:p w:rsidR="00DD1D42" w:rsidRPr="00381528" w:rsidRDefault="00DD1D42" w:rsidP="00DD1D42">
      <w:pPr>
        <w:spacing w:after="240"/>
        <w:ind w:firstLine="0"/>
      </w:pPr>
      <w:r w:rsidRPr="00381528">
        <w:t>Основные принципы правового регулирования в рассматриваемой сфере содержит Федеральный закон от 24.07.2009 № 209-ФЗ «Об охоте и о сохранении охотничьих ресурсов и о внесении изменений в отдельные законодательные акты Российской Федерации» (далее – Федеральный закон от 24.07.2009 № 209-ФЗ).</w:t>
      </w:r>
    </w:p>
    <w:p w:rsidR="00DD1D42" w:rsidRPr="00381528" w:rsidRDefault="00DD1D42" w:rsidP="00DD1D42">
      <w:pPr>
        <w:spacing w:after="240"/>
        <w:ind w:firstLine="0"/>
      </w:pPr>
      <w:r w:rsidRPr="00381528">
        <w:t xml:space="preserve">В соответствии со статьёй 20 Федерального закона от 24.07.2009                       № 209-ФЗ охотником признается физическое лицо, сведения о котором содержатся в государственном </w:t>
      </w:r>
      <w:proofErr w:type="spellStart"/>
      <w:r w:rsidRPr="00381528">
        <w:t>охотхозяйственном</w:t>
      </w:r>
      <w:proofErr w:type="spellEnd"/>
      <w:r w:rsidRPr="00381528">
        <w:t xml:space="preserve"> реестре, или иностранный гражданин, временно пребывающий в Российской Федерации и заключивший договор об оказании услуг в сфере охотничьего хозяйства. К охотнику приравнивается работник юридического лица или индивидуального предпринимателя, выполняющий обязанности, связанные с осуществлением охоты и сохранением охотничьих ресурсов, на основании трудового или гражданско-правового договора.</w:t>
      </w:r>
    </w:p>
    <w:p w:rsidR="00DD1D42" w:rsidRPr="00381528" w:rsidRDefault="00DD1D42" w:rsidP="00DD1D42">
      <w:pPr>
        <w:spacing w:after="240"/>
        <w:ind w:firstLine="0"/>
      </w:pPr>
      <w:r w:rsidRPr="00381528">
        <w:t>Названные лица обязаны иметь охотничий билет, а также разрешение на хранение и ношение охотничьего оружия.</w:t>
      </w:r>
    </w:p>
    <w:p w:rsidR="00DD1D42" w:rsidRPr="00381528" w:rsidRDefault="00DD1D42" w:rsidP="00DD1D42">
      <w:pPr>
        <w:spacing w:after="240"/>
        <w:ind w:firstLine="0"/>
      </w:pPr>
      <w:r w:rsidRPr="00381528">
        <w:t xml:space="preserve">Порядок выдачи охотничьего билета чётко регламентирован статьёй 21 </w:t>
      </w:r>
    </w:p>
    <w:p w:rsidR="00DD1D42" w:rsidRPr="00381528" w:rsidRDefault="00DD1D42" w:rsidP="00DD1D42">
      <w:pPr>
        <w:spacing w:after="240"/>
        <w:ind w:firstLine="0"/>
      </w:pPr>
      <w:proofErr w:type="gramStart"/>
      <w:r w:rsidRPr="00381528">
        <w:t xml:space="preserve">Федерального закона от 24.07.2009  № 209-ФЗ и принятым в его развитие приказом Минприроды России от 20.01.2011 № 13 «Об утверждении Порядка выдачи и аннулирования охотничьего билета единого федерального образца, формы охотничьего билета» (с последующими изменениями). </w:t>
      </w:r>
      <w:proofErr w:type="gramEnd"/>
    </w:p>
    <w:p w:rsidR="00DD1D42" w:rsidRPr="00381528" w:rsidRDefault="00DD1D42" w:rsidP="00DD1D42">
      <w:pPr>
        <w:spacing w:after="240"/>
        <w:ind w:firstLine="0"/>
      </w:pPr>
      <w:r w:rsidRPr="00381528">
        <w:t xml:space="preserve">Охотничий билет выдается физическим лицам, обладающим гражданской дееспособностью в соответствии с гражданским законодательством (по общему правилу, по достижении 18-летнего возраста), не имеющим непогашенной или неснятой судимости за совершение умышленного преступления, </w:t>
      </w:r>
      <w:r w:rsidRPr="00381528">
        <w:tab/>
        <w:t>ознакомившимся с требованиями охотничьего минимума.</w:t>
      </w:r>
    </w:p>
    <w:p w:rsidR="00DD1D42" w:rsidRPr="00381528" w:rsidRDefault="00DD1D42" w:rsidP="00DD1D42">
      <w:pPr>
        <w:spacing w:after="240"/>
        <w:ind w:firstLine="0"/>
      </w:pPr>
      <w:r w:rsidRPr="00381528">
        <w:t xml:space="preserve">Таким образом, до момента подачи заявления заявитель должен ознакомиться с требованиями охотничьего минимума, о чём указать в заявлении. Требования охотничьего минимума определены приказом Минприроды России от 30.06.2011 № 568 (с последующими изменениями) и включают в себя требования правил охоты, требования техники безопасности при осуществлении охоты, требования безопасности при обращении с орудиями охоты, а также основы биологии диких животных. </w:t>
      </w:r>
    </w:p>
    <w:p w:rsidR="00DD1D42" w:rsidRPr="00381528" w:rsidRDefault="00DD1D42" w:rsidP="00DD1D42">
      <w:pPr>
        <w:spacing w:after="240"/>
        <w:ind w:firstLine="0"/>
      </w:pPr>
      <w:r w:rsidRPr="00381528">
        <w:t xml:space="preserve">В том случае, если гражданин не соответствует вышеперечисленным требованиям, охотничий билет может быть на основании части  8 статьи 21 Федерального закона от 24.07.2009 № 209-ФЗ аннулирован. Кроме этого, </w:t>
      </w:r>
      <w:r w:rsidRPr="00381528">
        <w:lastRenderedPageBreak/>
        <w:t>основанием для принятия такого решения является подача охотником заявления об аннулировании своего охотничьего билета либо вынесение  судебного решения. Принятое государственным органом решение об аннулировании охотничьего билета может быть оспорено в судебном порядке.</w:t>
      </w:r>
    </w:p>
    <w:p w:rsidR="00DD1D42" w:rsidRPr="00381528" w:rsidRDefault="00DD1D42" w:rsidP="00DD1D42">
      <w:pPr>
        <w:spacing w:after="240"/>
        <w:ind w:firstLine="0"/>
      </w:pPr>
      <w:r w:rsidRPr="00381528">
        <w:t>Охотничий билет выдаётся по месту жительства гражданина, а в случае его отсутствия по месту пребывания.</w:t>
      </w:r>
    </w:p>
    <w:p w:rsidR="00DD1D42" w:rsidRPr="00381528" w:rsidRDefault="00DD1D42" w:rsidP="00DD1D42">
      <w:pPr>
        <w:spacing w:after="240"/>
        <w:ind w:firstLine="0"/>
      </w:pPr>
      <w:proofErr w:type="gramStart"/>
      <w:r w:rsidRPr="00381528">
        <w:t>На территории Томской области охотничий билет выдаётся Департаментом охотничьего и рыбного хозяйства Томской области  как по месту нахождения государственного органа (г. Томск, пр.</w:t>
      </w:r>
      <w:proofErr w:type="gramEnd"/>
      <w:r w:rsidRPr="00381528">
        <w:t xml:space="preserve"> </w:t>
      </w:r>
      <w:proofErr w:type="gramStart"/>
      <w:r w:rsidRPr="00381528">
        <w:t>Кирова, д. 14), так и в муниципальных районах Томской области по месту нахождения специалистов его территориальных отделов.  </w:t>
      </w:r>
      <w:proofErr w:type="gramEnd"/>
    </w:p>
    <w:p w:rsidR="00DD1D42" w:rsidRPr="00381528" w:rsidRDefault="00DD1D42" w:rsidP="00DD1D42">
      <w:pPr>
        <w:spacing w:after="240"/>
        <w:ind w:firstLine="0"/>
      </w:pPr>
      <w:r w:rsidRPr="00381528">
        <w:t xml:space="preserve">Подача заявления  возможна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и через областное государственное казённое учреждение «Томский областной многофункциональный центр по предоставлению государственных и муниципальных услуг». </w:t>
      </w:r>
    </w:p>
    <w:p w:rsidR="00DD1D42" w:rsidRPr="00381528" w:rsidRDefault="00DD1D42" w:rsidP="00DD1D42">
      <w:pPr>
        <w:spacing w:after="240"/>
        <w:ind w:firstLine="0"/>
      </w:pPr>
      <w:r w:rsidRPr="00381528">
        <w:t>Для  получения охотничьего билета нужно подать в  государственный орган заявление,  а также:</w:t>
      </w:r>
    </w:p>
    <w:p w:rsidR="00DD1D42" w:rsidRPr="00381528" w:rsidRDefault="00DD1D42" w:rsidP="00DD1D42">
      <w:pPr>
        <w:spacing w:after="240"/>
        <w:ind w:firstLine="0"/>
      </w:pPr>
      <w:r w:rsidRPr="00381528">
        <w:t xml:space="preserve">а) две личные фотографии в черно-белом или цветном исполнении размером 30 x 40 мм с чётким изображением лица строго </w:t>
      </w:r>
      <w:proofErr w:type="gramStart"/>
      <w:r w:rsidRPr="00381528">
        <w:t>в</w:t>
      </w:r>
      <w:proofErr w:type="gramEnd"/>
      <w:r w:rsidRPr="00381528">
        <w:t xml:space="preserve"> анфас без головного убора. В случае подачи заявления в форме электронного документа с использованием Единого портала государственных и муниципальных услуг (функций), личная фотография прикрепляется к нему в виде электронного файла с соблюдением следующих требований:</w:t>
      </w:r>
    </w:p>
    <w:p w:rsidR="00DD1D42" w:rsidRPr="00381528" w:rsidRDefault="00DD1D42" w:rsidP="00DD1D42">
      <w:pPr>
        <w:spacing w:after="240"/>
        <w:ind w:firstLine="0"/>
      </w:pPr>
      <w:r w:rsidRPr="00381528">
        <w:t>формат кодирования/записи изображения в прикрепляемом файле -    JPEG или JPEG 2000;</w:t>
      </w:r>
    </w:p>
    <w:p w:rsidR="00DD1D42" w:rsidRPr="00381528" w:rsidRDefault="00DD1D42" w:rsidP="00DD1D42">
      <w:pPr>
        <w:spacing w:after="240"/>
        <w:ind w:firstLine="0"/>
      </w:pPr>
      <w:r w:rsidRPr="00381528">
        <w:t xml:space="preserve">минимальное разрешение прикрепляемой фотографии не должно быть меньше 450 </w:t>
      </w:r>
      <w:proofErr w:type="spellStart"/>
      <w:r w:rsidRPr="00381528">
        <w:t>dpi</w:t>
      </w:r>
      <w:proofErr w:type="spellEnd"/>
      <w:r w:rsidRPr="00381528">
        <w:t>;</w:t>
      </w:r>
    </w:p>
    <w:p w:rsidR="00DD1D42" w:rsidRPr="00381528" w:rsidRDefault="00DD1D42" w:rsidP="00DD1D42">
      <w:pPr>
        <w:spacing w:after="240"/>
        <w:ind w:firstLine="0"/>
      </w:pPr>
      <w:r w:rsidRPr="00381528">
        <w:t>фотография может быть выполнена в 24-битном цветовом пространстве или 8-битном монохромном (черно-белом) пространстве;</w:t>
      </w:r>
    </w:p>
    <w:p w:rsidR="00DD1D42" w:rsidRPr="00381528" w:rsidRDefault="00DD1D42" w:rsidP="00DD1D42">
      <w:pPr>
        <w:spacing w:after="240"/>
        <w:ind w:firstLine="0"/>
      </w:pPr>
      <w:r w:rsidRPr="00381528">
        <w:t>максимальный размер прикрепляемого файла не должен превышать                     300 Кб (килобайт).</w:t>
      </w:r>
    </w:p>
    <w:p w:rsidR="00DD1D42" w:rsidRPr="00381528" w:rsidRDefault="00DD1D42" w:rsidP="00DD1D42">
      <w:pPr>
        <w:spacing w:after="240"/>
        <w:ind w:firstLine="0"/>
      </w:pPr>
      <w:r w:rsidRPr="00381528">
        <w:t>б) копия основного документа, удостоверяющего личность                                  (за исключением случаев подачи заявления в электронной форме).</w:t>
      </w:r>
    </w:p>
    <w:p w:rsidR="00DD1D42" w:rsidRDefault="00DD1D42" w:rsidP="00DD1D42">
      <w:pPr>
        <w:spacing w:after="240"/>
        <w:ind w:firstLine="0"/>
      </w:pPr>
      <w:r w:rsidRPr="00381528">
        <w:lastRenderedPageBreak/>
        <w:t xml:space="preserve">Охотничий билет является документом единого федерального образца без ограничения срока и территории его действия, имеет учётные серию и номер и признается действующим со дня внесения сведений о нём в государственный </w:t>
      </w:r>
      <w:proofErr w:type="spellStart"/>
      <w:r w:rsidRPr="00381528">
        <w:t>охотхозяйственный</w:t>
      </w:r>
      <w:proofErr w:type="spellEnd"/>
      <w:r w:rsidRPr="00381528">
        <w:t xml:space="preserve"> реестр.</w:t>
      </w:r>
    </w:p>
    <w:p w:rsidR="00BF472F" w:rsidRDefault="00BF472F">
      <w:bookmarkStart w:id="0" w:name="_GoBack"/>
      <w:bookmarkEnd w:id="0"/>
    </w:p>
    <w:sectPr w:rsidR="00BF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42"/>
    <w:rsid w:val="0001528B"/>
    <w:rsid w:val="00BF472F"/>
    <w:rsid w:val="00D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42"/>
    <w:pPr>
      <w:ind w:firstLine="567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42"/>
    <w:pPr>
      <w:ind w:firstLine="567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2019-07-08T05:22:00Z</dcterms:created>
  <dcterms:modified xsi:type="dcterms:W3CDTF">2019-07-08T05:22:00Z</dcterms:modified>
</cp:coreProperties>
</file>